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</w:t>
      </w:r>
      <w:r>
        <w:rPr>
          <w:rFonts w:hint="eastAsia"/>
        </w:rPr>
        <w:t>(</w:t>
      </w:r>
      <w:r>
        <w:rPr>
          <w:rFonts w:hint="eastAsia"/>
        </w:rPr>
        <w:t>第８条関係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jc w:val="center"/>
        <w:textAlignment w:val="center"/>
        <w:rPr>
          <w:rFonts w:hint="eastAsia"/>
        </w:rPr>
      </w:pPr>
      <w:r>
        <w:rPr>
          <w:rFonts w:hint="eastAsia"/>
        </w:rPr>
        <w:t>特定施設使用全廃届出書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特定施設のすべての使用を廃止したので、振動規制法第</w:t>
      </w:r>
      <w:r>
        <w:rPr>
          <w:rFonts w:hint="eastAsia"/>
        </w:rPr>
        <w:t>10</w:t>
      </w:r>
      <w:r>
        <w:rPr>
          <w:rFonts w:hint="eastAsia"/>
        </w:rPr>
        <w:t>条の規定により、次のとおり届け出ます。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2310"/>
        <w:gridCol w:w="1890"/>
        <w:gridCol w:w="2205"/>
      </w:tblGrid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