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kern w:val="0"/>
          <w:sz w:val="22"/>
        </w:rPr>
      </w:pPr>
      <w:bookmarkStart w:id="0" w:name="_GoBack"/>
      <w:bookmarkEnd w:id="0"/>
      <w:r>
        <w:rPr>
          <w:rFonts w:hint="eastAsia" w:ascii="ＭＳ 明朝" w:hAnsi="ＭＳ 明朝" w:eastAsia="ＭＳ 明朝"/>
          <w:kern w:val="0"/>
          <w:sz w:val="22"/>
        </w:rPr>
        <w:t>様式第１６号（第８条関係）</w:t>
      </w:r>
    </w:p>
    <w:p>
      <w:pPr>
        <w:pStyle w:val="0"/>
        <w:spacing w:before="153" w:beforeLines="50" w:beforeAutospacing="0" w:after="153" w:afterLines="50" w:afterAutospacing="0"/>
        <w:jc w:val="center"/>
        <w:rPr>
          <w:rFonts w:hint="default"/>
          <w:kern w:val="0"/>
          <w:sz w:val="24"/>
        </w:rPr>
      </w:pPr>
      <w:r>
        <w:rPr>
          <w:rFonts w:hint="eastAsia" w:ascii="ＭＳ 明朝" w:hAnsi="ＭＳ 明朝" w:eastAsia="ＭＳ 明朝"/>
          <w:kern w:val="0"/>
          <w:sz w:val="24"/>
        </w:rPr>
        <w:t>器　具　の　明　細　書</w:t>
      </w:r>
    </w:p>
    <w:tbl>
      <w:tblPr>
        <w:tblStyle w:val="11"/>
        <w:tblW w:w="9299"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435"/>
        <w:gridCol w:w="2543"/>
        <w:gridCol w:w="3544"/>
        <w:gridCol w:w="1297"/>
        <w:gridCol w:w="1480"/>
      </w:tblGrid>
      <w:tr>
        <w:trPr>
          <w:trHeight w:val="499" w:hRule="atLeast"/>
        </w:trPr>
        <w:tc>
          <w:tcPr>
            <w:tcW w:w="297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器具の名称</w:t>
            </w:r>
          </w:p>
        </w:tc>
        <w:tc>
          <w:tcPr>
            <w:tcW w:w="3544" w:type="dxa"/>
            <w:tcBorders>
              <w:top w:val="single" w:color="auto" w:sz="4" w:space="0"/>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形式又は性能</w:t>
            </w:r>
          </w:p>
        </w:tc>
        <w:tc>
          <w:tcPr>
            <w:tcW w:w="1297" w:type="dxa"/>
            <w:tcBorders>
              <w:top w:val="single" w:color="auto" w:sz="4" w:space="0"/>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数量</w:t>
            </w:r>
          </w:p>
        </w:tc>
        <w:tc>
          <w:tcPr>
            <w:tcW w:w="1480" w:type="dxa"/>
            <w:tcBorders>
              <w:top w:val="single" w:color="auto" w:sz="4" w:space="0"/>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購入年月日</w:t>
            </w:r>
          </w:p>
        </w:tc>
      </w:tr>
      <w:tr>
        <w:trPr>
          <w:trHeight w:val="1418" w:hRule="atLeast"/>
        </w:trPr>
        <w:tc>
          <w:tcPr>
            <w:tcW w:w="435"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１</w:t>
            </w:r>
          </w:p>
        </w:tc>
        <w:tc>
          <w:tcPr>
            <w:tcW w:w="25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スカム及び汚泥厚</w:t>
            </w:r>
          </w:p>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測定機器</w:t>
            </w:r>
          </w:p>
        </w:tc>
        <w:tc>
          <w:tcPr>
            <w:tcW w:w="3544"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29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48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r>
      <w:tr>
        <w:trPr>
          <w:trHeight w:val="1418" w:hRule="atLeast"/>
        </w:trPr>
        <w:tc>
          <w:tcPr>
            <w:tcW w:w="435"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２</w:t>
            </w:r>
          </w:p>
        </w:tc>
        <w:tc>
          <w:tcPr>
            <w:tcW w:w="2543"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温度計</w:t>
            </w:r>
          </w:p>
        </w:tc>
        <w:tc>
          <w:tcPr>
            <w:tcW w:w="3544"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29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48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r>
      <w:tr>
        <w:trPr>
          <w:trHeight w:val="1418" w:hRule="atLeast"/>
        </w:trPr>
        <w:tc>
          <w:tcPr>
            <w:tcW w:w="435"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３</w:t>
            </w:r>
          </w:p>
        </w:tc>
        <w:tc>
          <w:tcPr>
            <w:tcW w:w="2543"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透視度計</w:t>
            </w:r>
          </w:p>
        </w:tc>
        <w:tc>
          <w:tcPr>
            <w:tcW w:w="3544"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29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48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r>
      <w:tr>
        <w:trPr>
          <w:trHeight w:val="1418" w:hRule="atLeast"/>
        </w:trPr>
        <w:tc>
          <w:tcPr>
            <w:tcW w:w="435"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４</w:t>
            </w:r>
          </w:p>
        </w:tc>
        <w:tc>
          <w:tcPr>
            <w:tcW w:w="25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水素イオン濃度指数測定器具</w:t>
            </w:r>
          </w:p>
        </w:tc>
        <w:tc>
          <w:tcPr>
            <w:tcW w:w="3544"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29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48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r>
      <w:tr>
        <w:trPr>
          <w:trHeight w:val="1418" w:hRule="atLeast"/>
        </w:trPr>
        <w:tc>
          <w:tcPr>
            <w:tcW w:w="435"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５</w:t>
            </w:r>
          </w:p>
        </w:tc>
        <w:tc>
          <w:tcPr>
            <w:tcW w:w="2543" w:type="dxa"/>
            <w:tcBorders>
              <w:top w:val="nil"/>
              <w:left w:val="nil"/>
              <w:bottom w:val="nil"/>
              <w:right w:val="nil"/>
              <w:tl2br w:val="none" w:color="auto" w:sz="0" w:space="0"/>
              <w:tr2bl w:val="none" w:color="auto" w:sz="0" w:space="0"/>
            </w:tcBorders>
            <w:noWrap/>
            <w:vAlign w:val="center"/>
          </w:tcPr>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汚泥沈殿試験器具</w:t>
            </w:r>
          </w:p>
        </w:tc>
        <w:tc>
          <w:tcPr>
            <w:tcW w:w="3544"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29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48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r>
      <w:tr>
        <w:trPr>
          <w:trHeight w:val="1418" w:hRule="atLeast"/>
        </w:trPr>
        <w:tc>
          <w:tcPr>
            <w:tcW w:w="435"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６</w:t>
            </w:r>
          </w:p>
        </w:tc>
        <w:tc>
          <w:tcPr>
            <w:tcW w:w="254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その他浄化槽内に生じた汚泥、スカム等の引出し後の槽内の汚泥等の調整に適する器具</w:t>
            </w:r>
          </w:p>
        </w:tc>
        <w:tc>
          <w:tcPr>
            <w:tcW w:w="3544"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29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48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r>
      <w:tr>
        <w:trPr>
          <w:trHeight w:val="1418" w:hRule="atLeast"/>
        </w:trPr>
        <w:tc>
          <w:tcPr>
            <w:tcW w:w="435"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center"/>
              <w:rPr>
                <w:rFonts w:hint="default"/>
                <w:kern w:val="0"/>
                <w:sz w:val="22"/>
              </w:rPr>
            </w:pPr>
            <w:r>
              <w:rPr>
                <w:rFonts w:hint="eastAsia" w:ascii="ＭＳ 明朝" w:hAnsi="ＭＳ 明朝" w:eastAsia="ＭＳ 明朝"/>
                <w:kern w:val="0"/>
                <w:sz w:val="22"/>
              </w:rPr>
              <w:t>７</w:t>
            </w:r>
          </w:p>
        </w:tc>
        <w:tc>
          <w:tcPr>
            <w:tcW w:w="25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wordWrap w:val="1"/>
              <w:overflowPunct w:val="1"/>
              <w:autoSpaceDE w:val="1"/>
              <w:autoSpaceDN w:val="1"/>
              <w:jc w:val="both"/>
              <w:rPr>
                <w:rFonts w:hint="default"/>
                <w:kern w:val="0"/>
                <w:sz w:val="22"/>
              </w:rPr>
            </w:pPr>
            <w:r>
              <w:rPr>
                <w:rFonts w:hint="eastAsia" w:ascii="ＭＳ 明朝" w:hAnsi="ＭＳ 明朝" w:eastAsia="ＭＳ 明朝"/>
                <w:kern w:val="0"/>
                <w:sz w:val="22"/>
              </w:rPr>
              <w:t>パイプ及びスロット掃除器具並びにろ床洗浄器具その他の浄化槽内に生じた汚泥、スカム等の引出し後の槽内の汚泥等の調整に伴う単位装置及び附属機器類の洗浄、掃除等に適する器具</w:t>
            </w:r>
          </w:p>
        </w:tc>
        <w:tc>
          <w:tcPr>
            <w:tcW w:w="3544"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297"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c>
          <w:tcPr>
            <w:tcW w:w="1480" w:type="dxa"/>
            <w:tcBorders>
              <w:top w:val="nil"/>
              <w:left w:val="nil"/>
              <w:bottom w:val="single" w:color="auto" w:sz="4" w:space="0"/>
              <w:right w:val="single" w:color="auto" w:sz="4" w:space="0"/>
              <w:tl2br w:val="none" w:color="auto" w:sz="0" w:space="0"/>
              <w:tr2bl w:val="none" w:color="auto" w:sz="0" w:space="0"/>
            </w:tcBorders>
            <w:noWrap/>
            <w:vAlign w:val="center"/>
          </w:tcPr>
          <w:p>
            <w:pPr>
              <w:pStyle w:val="0"/>
              <w:widowControl w:val="1"/>
              <w:wordWrap w:val="1"/>
              <w:overflowPunct w:val="1"/>
              <w:autoSpaceDE w:val="1"/>
              <w:autoSpaceDN w:val="1"/>
              <w:jc w:val="left"/>
              <w:rPr>
                <w:rFonts w:hint="default"/>
                <w:kern w:val="0"/>
                <w:sz w:val="22"/>
              </w:rPr>
            </w:pPr>
            <w:r>
              <w:rPr>
                <w:rFonts w:hint="eastAsia" w:ascii="ＭＳ 明朝" w:hAnsi="ＭＳ 明朝" w:eastAsia="ＭＳ 明朝"/>
                <w:kern w:val="0"/>
                <w:sz w:val="22"/>
              </w:rPr>
              <w:t>　</w:t>
            </w:r>
          </w:p>
        </w:tc>
      </w:tr>
    </w:tbl>
    <w:p>
      <w:pPr>
        <w:pStyle w:val="0"/>
        <w:jc w:val="both"/>
      </w:pPr>
    </w:p>
    <w:sectPr>
      <w:footerReference r:id="rId5" w:type="default"/>
      <w:pgSz w:w="11906" w:h="16838"/>
      <w:pgMar w:top="1418" w:right="1304" w:bottom="1134" w:left="1304" w:header="567" w:footer="567" w:gutter="0"/>
      <w:cols w:space="720"/>
      <w:textDirection w:val="lrTb"/>
      <w:docGrid w:type="linesAndChars" w:linePitch="31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right"/>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227"/>
  <w:drawingGridVerticalSpacing w:val="317"/>
  <w:displayHorizontalDrawingGridEvery w:val="0"/>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qFormat/>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sz w:val="21"/>
    </w:rPr>
  </w:style>
  <w:style w:type="character" w:styleId="20">
    <w:name w:val="Hyperlink"/>
    <w:basedOn w:val="10"/>
    <w:next w:val="20"/>
    <w:link w:val="0"/>
    <w:uiPriority w:val="0"/>
    <w:rPr>
      <w:color w:val="000000"/>
      <w:u w:val="single"/>
    </w:rPr>
  </w:style>
  <w:style w:type="paragraph" w:styleId="21">
    <w:name w:val="HTML Top of Form"/>
    <w:basedOn w:val="0"/>
    <w:next w:val="0"/>
    <w:link w:val="22"/>
    <w:uiPriority w:val="0"/>
    <w:pPr>
      <w:widowControl w:val="1"/>
      <w:pBdr>
        <w:bottom w:val="single" w:color="auto" w:sz="6" w:space="1"/>
      </w:pBdr>
      <w:wordWrap w:val="1"/>
      <w:overflowPunct w:val="1"/>
      <w:autoSpaceDE w:val="1"/>
      <w:autoSpaceDN w:val="1"/>
      <w:jc w:val="center"/>
    </w:pPr>
    <w:rPr>
      <w:rFonts w:ascii="Arial" w:hAnsi="Arial" w:eastAsia="ＭＳ Ｐゴシック"/>
      <w:vanish w:val="1"/>
      <w:kern w:val="0"/>
      <w:sz w:val="16"/>
    </w:rPr>
  </w:style>
  <w:style w:type="character" w:styleId="22" w:customStyle="1">
    <w:name w:val="z-フォームの始まり (文字)"/>
    <w:basedOn w:val="10"/>
    <w:next w:val="22"/>
    <w:link w:val="21"/>
    <w:uiPriority w:val="0"/>
    <w:qFormat/>
    <w:rPr>
      <w:rFonts w:ascii="Arial" w:hAnsi="Arial"/>
      <w:vanish w:val="1"/>
      <w:sz w:val="16"/>
    </w:rPr>
  </w:style>
  <w:style w:type="paragraph" w:styleId="23">
    <w:name w:val="HTML Bottom of Form"/>
    <w:basedOn w:val="0"/>
    <w:next w:val="0"/>
    <w:link w:val="24"/>
    <w:uiPriority w:val="0"/>
    <w:pPr>
      <w:widowControl w:val="1"/>
      <w:pBdr>
        <w:top w:val="single" w:color="auto" w:sz="6" w:space="1"/>
      </w:pBdr>
      <w:wordWrap w:val="1"/>
      <w:overflowPunct w:val="1"/>
      <w:autoSpaceDE w:val="1"/>
      <w:autoSpaceDN w:val="1"/>
      <w:jc w:val="center"/>
    </w:pPr>
    <w:rPr>
      <w:rFonts w:ascii="Arial" w:hAnsi="Arial" w:eastAsia="ＭＳ Ｐゴシック"/>
      <w:vanish w:val="1"/>
      <w:kern w:val="0"/>
      <w:sz w:val="16"/>
    </w:rPr>
  </w:style>
  <w:style w:type="character" w:styleId="24" w:customStyle="1">
    <w:name w:val="z-フォームの終わり (文字)"/>
    <w:basedOn w:val="10"/>
    <w:next w:val="24"/>
    <w:link w:val="23"/>
    <w:uiPriority w:val="0"/>
    <w:qFormat/>
    <w:rPr>
      <w:rFonts w:ascii="Arial" w:hAnsi="Arial"/>
      <w:vanish w:val="1"/>
      <w:sz w:val="16"/>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page number"/>
    <w:basedOn w:val="10"/>
    <w:next w:val="27"/>
    <w:link w:val="0"/>
    <w:uiPriority w:val="0"/>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footer1.xml" Id="rId5" Type="http://schemas.openxmlformats.org/officeDocument/2006/relationships/footer" />
  <Relationship Target="styles.xml" Id="rId2" Type="http://schemas.openxmlformats.org/officeDocument/2006/relationships/styles" />
  <Relationship Target="theme/theme1.xml" Id="rId4" Type="http://schemas.openxmlformats.org/officeDocument/2006/relationships/theme" />
  <Relationship Target="commentsExtended.xml" Id="rId6" Type="http://schemas.microsoft.com/office/2011/relationships/commentsExtended"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